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300" w:afterAutospacing="0" w:line="293" w:lineRule="atLeast"/>
        <w:ind w:left="0" w:right="0" w:firstLine="0"/>
        <w:jc w:val="both"/>
        <w:rPr>
          <w:rFonts w:ascii="微软雅黑" w:hAnsi="微软雅黑" w:eastAsia="微软雅黑" w:cs="微软雅黑"/>
          <w:i w:val="0"/>
          <w:caps w:val="0"/>
          <w:color w:val="333333"/>
          <w:spacing w:val="8"/>
          <w:sz w:val="25"/>
          <w:szCs w:val="25"/>
        </w:rPr>
      </w:pPr>
      <w:r>
        <w:rPr>
          <w:rFonts w:ascii="黑体" w:hAnsi="宋体" w:eastAsia="黑体" w:cs="黑体"/>
          <w:i w:val="0"/>
          <w:caps w:val="0"/>
          <w:color w:val="333333"/>
          <w:spacing w:val="8"/>
          <w:sz w:val="31"/>
          <w:szCs w:val="31"/>
          <w:bdr w:val="none" w:color="auto" w:sz="0" w:space="0"/>
          <w:shd w:val="clear" w:fill="FFFFFF"/>
        </w:rPr>
        <w:t>一、IPC专利分类号清单</w:t>
      </w:r>
    </w:p>
    <w:tbl>
      <w:tblPr>
        <w:tblW w:w="7040" w:type="dxa"/>
        <w:tblInd w:w="60" w:type="dxa"/>
        <w:tblBorders>
          <w:top w:val="none" w:color="CCCCCC" w:sz="6" w:space="0"/>
          <w:left w:val="none" w:color="CCCCCC" w:sz="6" w:space="0"/>
          <w:bottom w:val="none" w:color="CCCCCC" w:sz="6" w:space="0"/>
          <w:right w:val="non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30"/>
        <w:gridCol w:w="1155"/>
        <w:gridCol w:w="5255"/>
      </w:tblGrid>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540" w:hRule="atLeast"/>
          <w:tblHeader/>
        </w:trPr>
        <w:tc>
          <w:tcPr>
            <w:tcW w:w="630"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黑体" w:hAnsi="宋体" w:eastAsia="黑体" w:cs="黑体"/>
                <w:i w:val="0"/>
                <w:caps w:val="0"/>
                <w:color w:val="333333"/>
                <w:spacing w:val="0"/>
                <w:sz w:val="24"/>
                <w:szCs w:val="24"/>
                <w:bdr w:val="none" w:color="auto" w:sz="0" w:space="0"/>
              </w:rPr>
              <w:t>序号</w:t>
            </w:r>
          </w:p>
        </w:tc>
        <w:tc>
          <w:tcPr>
            <w:tcW w:w="1155"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黑体" w:hAnsi="宋体" w:eastAsia="黑体" w:cs="黑体"/>
                <w:i w:val="0"/>
                <w:caps w:val="0"/>
                <w:color w:val="333333"/>
                <w:spacing w:val="0"/>
                <w:sz w:val="24"/>
                <w:szCs w:val="24"/>
                <w:bdr w:val="none" w:color="auto" w:sz="0" w:space="0"/>
              </w:rPr>
              <w:t>主分类</w:t>
            </w:r>
            <w:r>
              <w:rPr>
                <w:rFonts w:hint="eastAsia" w:ascii="黑体" w:hAnsi="宋体" w:eastAsia="黑体" w:cs="黑体"/>
                <w:i w:val="0"/>
                <w:caps w:val="0"/>
                <w:color w:val="333333"/>
                <w:spacing w:val="0"/>
                <w:sz w:val="24"/>
                <w:szCs w:val="24"/>
                <w:bdr w:val="none" w:color="auto" w:sz="0" w:space="0"/>
              </w:rPr>
              <w:br w:type="textWrapping"/>
            </w:r>
            <w:r>
              <w:rPr>
                <w:rFonts w:hint="eastAsia" w:ascii="黑体" w:hAnsi="宋体" w:eastAsia="黑体" w:cs="黑体"/>
                <w:i w:val="0"/>
                <w:caps w:val="0"/>
                <w:color w:val="333333"/>
                <w:spacing w:val="0"/>
                <w:sz w:val="24"/>
                <w:szCs w:val="24"/>
                <w:bdr w:val="none" w:color="auto" w:sz="0" w:space="0"/>
              </w:rPr>
              <w:t>  小类</w:t>
            </w:r>
          </w:p>
        </w:tc>
        <w:tc>
          <w:tcPr>
            <w:tcW w:w="5255"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黑体" w:hAnsi="宋体" w:eastAsia="黑体" w:cs="黑体"/>
                <w:i w:val="0"/>
                <w:caps w:val="0"/>
                <w:color w:val="333333"/>
                <w:spacing w:val="0"/>
                <w:sz w:val="24"/>
                <w:szCs w:val="24"/>
                <w:bdr w:val="none" w:color="auto" w:sz="0" w:space="0"/>
              </w:rPr>
              <w:t>分类号说明</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69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ascii="仿宋" w:hAnsi="仿宋" w:eastAsia="仿宋" w:cs="仿宋"/>
                <w:i w:val="0"/>
                <w:caps w:val="0"/>
                <w:color w:val="333333"/>
                <w:spacing w:val="0"/>
                <w:sz w:val="24"/>
                <w:szCs w:val="24"/>
                <w:bdr w:val="none" w:color="auto" w:sz="0" w:space="0"/>
              </w:rPr>
              <w:t>1</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H01L</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半导体器件；其他类目中不包括的电固体器件（使用半导体器件的测量入G01；一般电阻器入H01C；磁体、电感器、变压器入H01F；一般电容器入H01G；电解型器件入H01G9/00；电池组、蓄电池入H01M；波导管、谐振器或波导型线路入H01P；线路连接器、汇流器入H01R；受激发射器件入H01)</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G06F</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(电数字数据处理（部分计算是用液压或气动完成的计算机入G06D，光学完成的入G06E；基于特定计算模型的计算机系统入G06N；应用数字技术的阻抗网络入H03H）)</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3</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H04L</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数字信息的传输，例如电报通信（打字机入B41J；命令电报、火警或警察用电报入G08B；图像电报入G08B，G08C；传真电报系统入G08C；编密码或解密码的装置本身入G09C；一般编码、译码或代码变换入H03M；电报和电话通信的公用设备入H04M；选择入H04Q；无线通信网络入H04W）〔4〕)</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91"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4</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H04W</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(无线通信网络〔2009.01〕)</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5</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G02B</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(光学元件、系统或仪器（G02F优先；专用于照明装置或系统的光学元件入F21V1/00至F21V 13/00；测量仪器见G01类的有关小类，例如，光学测距仪入G01C；光学元件、系统或仪器的测试入G01M 11/00；眼镜入G02C；摄影、放映或观看用的装置或设备入G03B；声透镜入G10K 11/30；电子和)</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6</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G01R</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测量电变量；测量磁变量（通过转换成电变量对任何种类的物理变量进行测量参见G01类名下的附注4；测量电场中离子的扩散，例如电泳、电渗透，入G01N；应用电或磁的方法研究材料的非电或非磁性质入G01N；指示谐振电路的正确调谐入H03J3/12；电子脉冲计数器的监测入H03K 21/40；)</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7</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G05B</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一般的控制或调节系统；这种系统的功能单元；用于这种系统或单元的监视或测试装置（应用流体作用的一般流体压力执行器或系统入F15B；阀门本身入F16K；仅按机械特征区分的入G05G；传感元件见相应小类，例如G12B，G01、H01的小类；校正单元见相应的小类，例如H02K）)</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8</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G06K</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(数据识别；数据表示；记录载体；记录载体的处理（邮件的分类入B07C；二次监视雷达入G01S；检测转发器或标记的存在入G01S，G01V）)</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9</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H04B</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传输（用于测量值、控制或类似信号的传输系统入G08C；话音分析或合成入G10L；一般的编码、译码或码变换入H03M；广播通信入H04H；多路复用系统入H04J；保密通信入H04K；数字信息传输本身入H04L；无线通信网络入H04W）〔4〕)</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10</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G11C</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静态存储器（基于记录载体和换能器之间的相对运动而实现的信息存储入G11B；半导体存储器件入H01L，例如H01L 27/108至H01L 27/115；一般脉冲技术入H03K，例如，电子开关入 H03K 17/00）</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11</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G02F</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用于控制光的强度、颜色、相位、偏振或方向的器件或装置，例如转换、选通、调制或解调，上述器件或装置的光学操作是通过改变器件或装置的介质的光学性质来修改的；用于上述操作的技术或工艺；变频；非线性光学；光学逻辑元件；光学模拟/数字转换器（传感构件和与测量相关连的)</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03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12</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H01Q</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(天线（近场治疗处理的微波辐射器入A61N5/04；用于试验天线或测量天线特性的设备入G01R；波导入H01P；微波加热用辐射器或天线入H05B 6/72）)</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13</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G06T</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(一般的图像数据处理或产生（特别适用于特定应用，见相关的小类，如G01C,G06K, G09G, H04N）〔6，8〕)</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05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14</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G06Q</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(专门适用于行政、商业、金融、管理、监督或预测目的的数据处理系统或方法；其他类目不包含的专门适用于行政、商业、金融、管理、监督或预测目的的处理系统或方法〔8〕)</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15</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G03F</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图纹面的照相制版工艺，例如，印刷工艺、半导体器件的加工工艺；其所用材料；其所用原版；其所用专用设备（照相排版装置入B41B；为摄影用的感光材料或处理入G03C；电记录、感光层或处理入G03G）</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16</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G01S</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(无线电定向；无线电导航；采用无线电波测距或测速；采用无线电波的反射或再辐射的定位或存在检测；采用其他波的类似装置)</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82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17</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G01M</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(机器或结构部件的静或动平衡的测试；其他类目中不包括的结构部件或设备的测试)</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45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18</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H04N</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(图像通信，如电视)</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78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19</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G05D</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(非电变量的控制或调节系统（金属的连续铸造入B22D11/16；阀门本身入F16K；非电变量的检测见G01各有关小类；电或磁变量的调节入G05F）)</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85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20</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G01C</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测量距离、水准或者方位；勘测；导航；陀螺仪；摄影测量学或视频测量学（液体水平面的测量入G01F；无线电导航，通过利用无线电波的传播效应，例如多普勒效应，传播时间来测定距离或速度，利用其他波的类似装置入G01S）)</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48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21</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H01P</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(波导；谐振器、传输线或其他波导型器件（工作在光频的入G02B）)</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91"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22</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H03K</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脉冲技术（脉冲特性测量入G01R；具有电输入的机械计数器入G06M；一般信息存贮器件入G11；在电模拟存贮器中的取样保持装置入G11C27/02；用于产生脉冲的含有开闭触点的开关结构，例如利用运动磁铁的入H01H；电源的静态转换入H02M；使用以非开关方式工作的有源元件电路产生振荡)</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381"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23</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G08G</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(交通控制系统（指导铁路交通，保证铁路交通安全的入B61L；道路标志或交通信号的配置入E01F9/00；为交通控制而设计的雷达系统或类似系统入G01S 13/91；专为交通控制而设计的声纳系统或激光雷达系统入G01S  15/88，G01S 17/88）〔2〕)</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24</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G01B</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(长度、厚度或类似线性尺寸的计量；角度的计量；面积的计量；不规则的表面或轮廓的计量)</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25</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G09G</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(对用静态方法显示可变信息的指示装置进行控制的装置或电路（一般照明入F21；显示电变量或波形的装置入G01R13/00；用于光束控制的设备或装置入G02F 1/00；以目视方法指示时间入G04B 19/00，G04C 17/00，G04G 9/00；计算机和外围设备之间传输数据的装置入G06F 3/00；发出可见)</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21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26</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H05K</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(印刷电路；电设备的外壳或结构零部件；电气元件组件的制造（其他类目不包括的仪器零部件或其他设备的类似零部件入G12B；薄膜或厚膜电路入H01L27／01，H01L 27／13；用于对印刷电路或印刷电路之间的电连接的非印刷方法入H01R；用于特殊类型设备的外壳或其结构零部件，见有关)</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15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27</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G09B</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(教育或演示用具；用于教学或与盲人、聋人或哑人通信的用具；模型；天象仪；地球仪；地图；图表（用于心理技术或测试反应时间的装置入A61B5/16；比赛、运动、文娱用具入A63；放映机、放映屏幕入G03B）)</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67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28</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G01L</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(测量力、应力、转矩、功、机械功率、机械效率或流体压力（称量入G01G）〔4〕)</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70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29</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G01D</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(非专用于特定变量的测量；不包含在其他单独小类中的测量两个或多个变量的装置；计费设备；未列入其他类目的测量或测试)</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21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30</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G07C</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时间登记器或出勤登记器；登记或指示机器的运行；产生随机数；投票或彩票设备；未列入其他类目的核算装置、系统或设备（人身鉴别，例如手纹印制、脚纹印制入A61B 5/117；一般计量的指示或记录装置，其中输入不是要测量的变量的类似装置（例如手操作），入G01D；时钟、时钟机构入G04B，G04C；时间间隔计量入G04F；计数机构本身入G06M）</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09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31</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G08B</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信号装置或呼叫装置；指令发信装置；报警装置（车辆上的信号装置入B60Q，B62D 41/00；铁路信号系统或装置入B61L；自行车上的入B62J 3/00，B62J 6/00；具有报警装置的保险柜或保险库入E05G；用于矿井的信号装置或报警装置入E21F 17/18；传感测量元件，见G01的有关小类；交通控制系统入G08G；可视指示装置入G09；发声装置入G10；无线电或近场呼叫系统入H04B 5/00，H04B 7/00；扬声器、传声器、唱机拾音器或类似的机电传感器入H04R）</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94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32</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G01J</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(红外光、可见光、紫外光的强度、速度、光谱成分，偏振、相位或脉冲特性的测量；比色法；辐射高温测定法〔2〕)</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6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33</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H01S</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(利用受激发射的器件)</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08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34</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H03M</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(一般编码、译码或代码转换（用射流方法入F15C4/00；光学模/数转换器入G02F  7/00；专用于特殊应用的编码、译码或代码转换见有关小类，例如G01D，G01R，G06F，G06T，G09G，G10L，G11B，G11C，H04B，H04L，H04M，H04N；专用于密码技术或涉及需要保密的其他目的的编码或译码入G0)</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06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35</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G08C</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(测量值、控制信号或类似信号的传输系统（流体压力传输系统入F15B；将传感件的输出信号转换成不同变量的机械装置入G01D5/00；机械控制系统入G05G）〔4〕)</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15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36</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H01F</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(磁体；电感；变压器；磁性材料的选择（铁氧体陶瓷入C04B35/26；合金入C22C；热磁器件入H01L 37/00，扬声器、送话器、唱机拾音器等声学机电传感器入H04R）〔2〕)</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27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37</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G05F</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调节电变量或磁变量的系统（调节雷达或无线电导航系统中脉冲计时或脉冲重复频率的入G01S；专用于电子计时器中电流或电压的调节入G04G 19/02；用电装置调节非电变量的闭环系统入G05D；数字计算机的调节电源入G06F 1/26；用于得到有衔铁时的所需电磁铁工作特性入H01F 7/18；调节电功率的配电网络入H02J；调节电池充电的入H02J 7/00；静态变换器输出的调节，例如开关式调节器入H02M；电发生器输出的调节入H02N，H02P 9/00；变压器、电抗器、或扼流圈的控制入H02P 13/00；调节放大器的频率响应、增益、最大输出、振幅或带宽的入H03G；调节谐振电路调谐的入H03J；控制电子振荡器或脉冲发生器的入H03L；调节传输线路特性的入H04B；控制电光源的入H05B 37/02，H05B 39/04，H05B 41/36；X射线设备的电气控制入H05G 1/30）〔4，5〕</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105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38</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H01M</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(用于直接转变化学能为电能的方法或装置，例如电池组（一般电化学的方法或装置入C25；用于转变光或热为电能的半导体或其他固态器件入H01L，例如H01L31/00，H01L 35/00，H01L 37/00）〔2〕)</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84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39</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H05B</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(电热；其他类目不包含的电照明（专用设备见有关分类位置，例如A47J，B21J，B21K，C21，C22，C23，F21，F24，F27）)</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42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40</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G09F</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显示；广告；标记；标签或铭牌；印鉴</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46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41</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G06N</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(基于特定计算模型的计算机系统〔7〕)</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75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42</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H04M</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(电话通信（通过电话电缆控制其他设备，但不包括电话交换设备的电路入G08）)</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43</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H03F</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放大器（测量、试验入G01R；光参量放大器入G02F；具有二次发射管的电路装置入H01J 43/30；微波激射器，激光器入H01S；电动放大器入H02K；放大的控制入H03G；与放大器特性无关的耦合装置，分压器入H03H；只能处理脉冲的放大器入H03K；传输线路中的中继器电路入H04B 3/36、H04B 3/58；电话通信中音频放大器的应用入H04M 1/60，H04M 3/40）</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87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44</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H03L</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电子振荡器或脉冲发生器的自动控制、起振、同步或稳定（发电机的入H02P）〔3〕</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9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45</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G10L</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语音分析或合成；语音识别；音频分析或处理〔4〕</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46</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H03H</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阻抗网络，例如谐振电路；谐振器（测量，试验入G01R；产生混响或回声装置入G10K 15/08；由分布阻抗，例如波导型，组成的阻抗网络或谐振器入H01P；放大的控制，例如放大器的带宽控制入H03G；调谐谐振电路，例如调谐耦合谐振电路入H03J；改善通信系统频率特性的网络入H04B）</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47</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G01P</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(线速度或角速度、加速度、减速度或冲击的测量；运动的存在、不存在或方向的指示（血液流动的测量或记录入A61B5/02，A61B 8/06；电动车辆的速度或减速度的监测入B60L 3/00；适用于指示速度的车辆照明系统入B60Q 1/54；导航中位置或航向的测定，大地测量或勘测中地面距离的测)</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69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48</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G01K</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(温度测量；热量测量；未列入其他类目的热敏元件（辐射高温测定法入G01J5/00）)</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49</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H01H</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电开关；继电器；选择器；紧急保护装置（接触电缆入H01B 7/10；电解式自断续器入H01G 9/18；紧急保护电路装置入H02H；无触点电子开关入H03K 17/00）</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40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50</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H04Q</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选择（开关、继电器、选择器入H01H；无线通信网络入H04W）〔1，2009.01〕</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73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51</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H04J</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多路复用通信（专用于数字信息传输的入H04L 5/00；同时或顺序传送多个电视信号的系统入H04N 7/08；用于交换机的入H04Q 11/00）</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72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52</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H01J</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(放电管或放电灯（火花隙入H01T；消耗电极的弧光灯入H05B；粒子加速器入H05H）)</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53</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H01G</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(电容器；电解型的电容器、整流器、检波器、开关器件、光敏器件或热敏器件（电介质专用材料的选择入H01B3/00；电位跃迁或表面阻挡层的电容器入H01L 29/00）)</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54</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H02M</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用于交流和交流之间、交流和直流之间、或直流和直流之间的转换以及用于与电源或类似的供电系统一起使用的设备；直流或交流输入功率至浪涌输出功率的转换；以及它们的控制或调节（专用于没有可动部件的电子时钟的电流或者电压的变换入G04G19/02；调节电或磁变量的系统，例如)</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55</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H02J</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(供电或配电的电路装置或系统；电能存储系统（用于测量X射线、γ射线、微粒子射线或宇宙射线设备的供电电路入G01T1/175；专用于具有不动件的电子时钟的供电电路入G04G 19/00；用于数字计算机的入G06F 1/18；用于放电管的入H01J 37/248；电能转换用电路或设备，这种电路或设备)</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56</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H02N</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(其他类目不包含的电机)</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975"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57</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H02K</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(电机（测量仪表入G01；电动继电器入H01H53/00；直流或交流电力输入变换为浪涌电力输出入H02M 9/00；扬声器、扩声器、唱机拾音器或类似的声学机电换能器入H04R）)</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58</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H02P</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电动机、发电机或机电变换器的控制或调节；控制变压器、电抗器或扼流圈（起动器、制动器或其他控制装置的结构，见有关小类，例如机械制动器入F16D，机械速度调节器入G05D，可变电阻器入H01C，起动器开关H01H；应用变压器、电抗器或扼流圈调节电或磁变量的系统入G05F；与电动)</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93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59</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H02H</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(紧急保护电路装置（指示或警报意外工作情况的入G01R，例如G01R31/00，G08B；沿线测定故障位置入G01R 31/08；紧急保护装置入H01H）)</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1170" w:hRule="atLeast"/>
        </w:trPr>
        <w:tc>
          <w:tcPr>
            <w:tcW w:w="630"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60</w:t>
            </w:r>
          </w:p>
        </w:tc>
        <w:tc>
          <w:tcPr>
            <w:tcW w:w="11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G01N</w:t>
            </w:r>
          </w:p>
        </w:tc>
        <w:tc>
          <w:tcPr>
            <w:tcW w:w="525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textAlignment w:val="center"/>
              <w:rPr>
                <w:sz w:val="24"/>
                <w:szCs w:val="24"/>
              </w:rPr>
            </w:pPr>
            <w:r>
              <w:rPr>
                <w:rFonts w:hint="eastAsia" w:ascii="仿宋" w:hAnsi="仿宋" w:eastAsia="仿宋" w:cs="仿宋"/>
                <w:i w:val="0"/>
                <w:caps w:val="0"/>
                <w:color w:val="333333"/>
                <w:spacing w:val="0"/>
                <w:sz w:val="24"/>
                <w:szCs w:val="24"/>
                <w:bdr w:val="none" w:color="auto" w:sz="0" w:space="0"/>
              </w:rPr>
              <w:t>(借助于测定材料的化学或物理性质来测试或分析材料（一般的材料组分的分离入B01D，B01J，B03,B07；完全列入其他单个小类中的装置参见有关的小类，如B01L；除免疫测定法以外包括酶或微生物的测量或试验入C12M，C12Q；施工现场地基土质的测试入E02D1/00；用于废气处理装置的检)</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300" w:afterAutospacing="0" w:line="420" w:lineRule="atLeast"/>
        <w:ind w:left="0" w:right="0" w:firstLine="0"/>
        <w:jc w:val="both"/>
        <w:rPr>
          <w:rFonts w:hint="eastAsia" w:ascii="微软雅黑" w:hAnsi="微软雅黑" w:eastAsia="微软雅黑" w:cs="微软雅黑"/>
          <w:i w:val="0"/>
          <w:caps w:val="0"/>
          <w:color w:val="333333"/>
          <w:spacing w:val="8"/>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spacing w:before="0" w:beforeAutospacing="0" w:after="300" w:afterAutospacing="0" w:line="420" w:lineRule="atLeast"/>
        <w:ind w:left="0" w:right="0" w:firstLine="0"/>
        <w:jc w:val="both"/>
        <w:rPr>
          <w:rFonts w:hint="eastAsia" w:ascii="微软雅黑" w:hAnsi="微软雅黑" w:eastAsia="微软雅黑" w:cs="微软雅黑"/>
          <w:i w:val="0"/>
          <w:caps w:val="0"/>
          <w:color w:val="333333"/>
          <w:spacing w:val="8"/>
          <w:sz w:val="25"/>
          <w:szCs w:val="25"/>
        </w:rPr>
      </w:pPr>
      <w:r>
        <w:rPr>
          <w:rFonts w:hint="eastAsia" w:ascii="黑体" w:hAnsi="宋体" w:eastAsia="黑体" w:cs="黑体"/>
          <w:i w:val="0"/>
          <w:caps w:val="0"/>
          <w:color w:val="333333"/>
          <w:spacing w:val="8"/>
          <w:sz w:val="31"/>
          <w:szCs w:val="31"/>
          <w:bdr w:val="none" w:color="auto" w:sz="0" w:space="0"/>
          <w:shd w:val="clear" w:fill="FFFFFF"/>
        </w:rPr>
        <w:t>二、外观设计分类号清单</w:t>
      </w:r>
    </w:p>
    <w:tbl>
      <w:tblPr>
        <w:tblW w:w="7190" w:type="dxa"/>
        <w:tblInd w:w="60" w:type="dxa"/>
        <w:tblBorders>
          <w:top w:val="none" w:color="CCCCCC" w:sz="6" w:space="0"/>
          <w:left w:val="none" w:color="CCCCCC" w:sz="6" w:space="0"/>
          <w:bottom w:val="none" w:color="CCCCCC" w:sz="6" w:space="0"/>
          <w:right w:val="non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645"/>
        <w:gridCol w:w="1140"/>
        <w:gridCol w:w="5405"/>
      </w:tblGrid>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810" w:hRule="atLeast"/>
        </w:trPr>
        <w:tc>
          <w:tcPr>
            <w:tcW w:w="645" w:type="dxa"/>
            <w:tcBorders>
              <w:top w:val="single" w:color="000000" w:sz="6" w:space="0"/>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黑体" w:hAnsi="宋体" w:eastAsia="黑体" w:cs="黑体"/>
                <w:i w:val="0"/>
                <w:caps w:val="0"/>
                <w:color w:val="333333"/>
                <w:spacing w:val="0"/>
                <w:sz w:val="24"/>
                <w:szCs w:val="24"/>
                <w:bdr w:val="none" w:color="auto" w:sz="0" w:space="0"/>
              </w:rPr>
              <w:t>序号</w:t>
            </w:r>
          </w:p>
        </w:tc>
        <w:tc>
          <w:tcPr>
            <w:tcW w:w="1140"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黑体" w:hAnsi="宋体" w:eastAsia="黑体" w:cs="黑体"/>
                <w:i w:val="0"/>
                <w:caps w:val="0"/>
                <w:color w:val="333333"/>
                <w:spacing w:val="0"/>
                <w:sz w:val="24"/>
                <w:szCs w:val="24"/>
                <w:bdr w:val="none" w:color="auto" w:sz="0" w:space="0"/>
              </w:rPr>
              <w:t>洛伽诺</w:t>
            </w:r>
            <w:r>
              <w:rPr>
                <w:rFonts w:hint="eastAsia" w:ascii="黑体" w:hAnsi="宋体" w:eastAsia="黑体" w:cs="黑体"/>
                <w:i w:val="0"/>
                <w:caps w:val="0"/>
                <w:color w:val="333333"/>
                <w:spacing w:val="0"/>
                <w:sz w:val="24"/>
                <w:szCs w:val="24"/>
                <w:bdr w:val="none" w:color="auto" w:sz="0" w:space="0"/>
              </w:rPr>
              <w:br w:type="textWrapping"/>
            </w:r>
            <w:r>
              <w:rPr>
                <w:rFonts w:hint="eastAsia" w:ascii="黑体" w:hAnsi="宋体" w:eastAsia="黑体" w:cs="黑体"/>
                <w:i w:val="0"/>
                <w:caps w:val="0"/>
                <w:color w:val="333333"/>
                <w:spacing w:val="0"/>
                <w:sz w:val="24"/>
                <w:szCs w:val="24"/>
                <w:bdr w:val="none" w:color="auto" w:sz="0" w:space="0"/>
              </w:rPr>
              <w:t> 分类小类</w:t>
            </w:r>
          </w:p>
        </w:tc>
        <w:tc>
          <w:tcPr>
            <w:tcW w:w="5405" w:type="dxa"/>
            <w:tcBorders>
              <w:top w:val="single" w:color="000000" w:sz="6" w:space="0"/>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黑体" w:hAnsi="宋体" w:eastAsia="黑体" w:cs="黑体"/>
                <w:i w:val="0"/>
                <w:caps w:val="0"/>
                <w:color w:val="333333"/>
                <w:spacing w:val="0"/>
                <w:sz w:val="24"/>
                <w:szCs w:val="24"/>
                <w:bdr w:val="none" w:color="auto" w:sz="0" w:space="0"/>
              </w:rPr>
              <w:t>分类号说明</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10-02</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表和手表</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10-04</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其他计时仪器、设备和装置</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3</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10-05</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检测、安全和测试用仪器、设备和装置</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4</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10-06</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信号设备和装置</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5</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10-07</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计量仪器、检测仪器和信号仪器的外壳、盘面、指针和所有其他零部件及附件</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6</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12-05</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装载或输送用的升降机和提升机</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7</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12-07</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航空器和太空运载工具</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8</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13-01</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发电机和电动机</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9</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13-02</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电力变压器、整流器、电池和蓄电池</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10</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13-03</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配电或电力控制设备</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11</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14-01</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声音或图像的记录或再现设备</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12</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14-02</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数据处理设备及其外围设备和装置</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13</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14-03</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通信设备、无线电遥控设备和无线电放大器</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14</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14-04</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显示界面和图标</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15</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14-99</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其他杂项（14类 记录、通信、信息检索设备）</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16</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16-01</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照相机和电影摄影机</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17</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16-02</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放映机、投影仪和看片机</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18</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16-03</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影印设备和放大机</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19</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16-04</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显影器械和设备</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20</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16-05</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附件（16类 照相设备、电影摄影设备和光学设备）</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21</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16-06</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光学制品</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22</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16-99</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其他杂项（16类 照相设备、电影摄影设备和光学设备）</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23</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18-01</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打字机和运算机器</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24</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20-01</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自动售货机</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25</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20-02</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陈列设备和销售设备</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26</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23-04</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通风和空调设备</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27</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24-01</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医生、医院和实验室用的仪器和设备</w:t>
            </w:r>
            <w:bookmarkStart w:id="0" w:name="_GoBack"/>
            <w:bookmarkEnd w:id="0"/>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28</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26-04</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电或非电的光源</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29</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26-05</w:t>
            </w:r>
          </w:p>
        </w:tc>
        <w:tc>
          <w:tcPr>
            <w:tcW w:w="5405" w:type="dxa"/>
            <w:tcBorders>
              <w:top w:val="nil"/>
              <w:left w:val="nil"/>
              <w:bottom w:val="single" w:color="000000" w:sz="6" w:space="0"/>
              <w:right w:val="single" w:color="000000" w:sz="6" w:space="0"/>
            </w:tcBorders>
            <w:shd w:val="clear" w:color="auto" w:fill="EEEEEE"/>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灯，落地灯、标准灯，枝形吊灯，墙壁和天花板装置，灯罩，反光罩，摄影和电影投光灯</w:t>
            </w:r>
          </w:p>
        </w:tc>
      </w:tr>
      <w:tr>
        <w:tblPrEx>
          <w:tblBorders>
            <w:top w:val="none" w:color="CCCCCC" w:sz="6" w:space="0"/>
            <w:left w:val="none" w:color="CCCCCC" w:sz="6" w:space="0"/>
            <w:bottom w:val="none" w:color="CCCCCC" w:sz="6" w:space="0"/>
            <w:right w:val="none" w:color="CCCCCC" w:sz="6" w:space="0"/>
            <w:insideH w:val="none" w:color="auto" w:sz="0" w:space="0"/>
            <w:insideV w:val="none" w:color="auto" w:sz="0" w:space="0"/>
          </w:tblBorders>
          <w:tblLayout w:type="fixed"/>
          <w:tblCellMar>
            <w:top w:w="0" w:type="dxa"/>
            <w:left w:w="0" w:type="dxa"/>
            <w:bottom w:w="0" w:type="dxa"/>
            <w:right w:w="0" w:type="dxa"/>
          </w:tblCellMar>
        </w:tblPrEx>
        <w:trPr>
          <w:trHeight w:val="316" w:hRule="atLeast"/>
        </w:trPr>
        <w:tc>
          <w:tcPr>
            <w:tcW w:w="645" w:type="dxa"/>
            <w:tcBorders>
              <w:top w:val="nil"/>
              <w:left w:val="single" w:color="000000" w:sz="6" w:space="0"/>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textAlignment w:val="center"/>
              <w:rPr>
                <w:sz w:val="24"/>
                <w:szCs w:val="24"/>
              </w:rPr>
            </w:pPr>
            <w:r>
              <w:rPr>
                <w:rFonts w:hint="eastAsia" w:ascii="仿宋" w:hAnsi="仿宋" w:eastAsia="仿宋" w:cs="仿宋"/>
                <w:i w:val="0"/>
                <w:caps w:val="0"/>
                <w:color w:val="333333"/>
                <w:spacing w:val="0"/>
                <w:sz w:val="24"/>
                <w:szCs w:val="24"/>
                <w:bdr w:val="none" w:color="auto" w:sz="0" w:space="0"/>
              </w:rPr>
              <w:t>30</w:t>
            </w:r>
          </w:p>
        </w:tc>
        <w:tc>
          <w:tcPr>
            <w:tcW w:w="1140"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center"/>
              <w:rPr>
                <w:sz w:val="24"/>
                <w:szCs w:val="24"/>
              </w:rPr>
            </w:pPr>
            <w:r>
              <w:rPr>
                <w:rFonts w:hint="eastAsia" w:ascii="仿宋" w:hAnsi="仿宋" w:eastAsia="仿宋" w:cs="仿宋"/>
                <w:i w:val="0"/>
                <w:caps w:val="0"/>
                <w:color w:val="333333"/>
                <w:spacing w:val="0"/>
                <w:sz w:val="24"/>
                <w:szCs w:val="24"/>
                <w:bdr w:val="none" w:color="auto" w:sz="0" w:space="0"/>
              </w:rPr>
              <w:t>26-06</w:t>
            </w:r>
          </w:p>
        </w:tc>
        <w:tc>
          <w:tcPr>
            <w:tcW w:w="5405" w:type="dxa"/>
            <w:tcBorders>
              <w:top w:val="nil"/>
              <w:left w:val="nil"/>
              <w:bottom w:val="single" w:color="000000" w:sz="6" w:space="0"/>
              <w:right w:val="single" w:color="000000" w:sz="6" w:space="0"/>
            </w:tcBorders>
            <w:shd w:val="clear" w:color="auto" w:fill="FFFFFF"/>
            <w:tcMar>
              <w:top w:w="15" w:type="dxa"/>
              <w:left w:w="15" w:type="dxa"/>
              <w:bottom w:w="15" w:type="dxa"/>
              <w:right w:w="15"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wordWrap/>
              <w:spacing w:before="0" w:beforeAutospacing="0" w:after="300" w:afterAutospacing="0" w:line="420" w:lineRule="atLeast"/>
              <w:ind w:left="0" w:right="0"/>
              <w:jc w:val="both"/>
              <w:rPr>
                <w:sz w:val="24"/>
                <w:szCs w:val="24"/>
              </w:rPr>
            </w:pPr>
            <w:r>
              <w:rPr>
                <w:rFonts w:hint="eastAsia" w:ascii="仿宋" w:hAnsi="仿宋" w:eastAsia="仿宋" w:cs="仿宋"/>
                <w:i w:val="0"/>
                <w:caps w:val="0"/>
                <w:color w:val="333333"/>
                <w:spacing w:val="0"/>
                <w:sz w:val="24"/>
                <w:szCs w:val="24"/>
                <w:bdr w:val="none" w:color="auto" w:sz="0" w:space="0"/>
              </w:rPr>
              <w:t>交通工具发光装置</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9A11285"/>
    <w:rsid w:val="19A1128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2019-05-15T01:17:00Z</dcterms:created>
  <dc:creator>林红</dc:creator>
  <cp:lastModifiedBy>林红</cp:lastModifiedBy>
  <dcterms:modified xsi:type="dcterms:W3CDTF">2019-05-15T01:18:38Z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